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/>
      </w:pPr>
      <w:r>
        <w:rPr>
          <w:rFonts w:ascii="Times New Roman" w:hAnsi="Times New Roman"/>
          <w:sz w:val="28"/>
          <w:szCs w:val="28"/>
        </w:rPr>
        <w:t>Приложение № 2 к письму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Перечни нормативных правовых актов (далее - НПА),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вступающих в силу с 01.03.2022 и позднее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tbl>
      <w:tblPr>
        <w:tblW w:w="964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07"/>
        <w:gridCol w:w="60"/>
        <w:gridCol w:w="2603"/>
        <w:gridCol w:w="1880"/>
        <w:gridCol w:w="4589"/>
      </w:tblGrid>
      <w:tr>
        <w:trPr/>
        <w:tc>
          <w:tcPr>
            <w:tcW w:w="96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b/>
                <w:b/>
                <w:bCs/>
                <w:i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Перечень нормативных правовых актов,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i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  <w:t>вступающих в силу с 01.03.2022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НПА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Взамен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Краткие пояснения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закон от 02.07.2021 № 311-ФЗ «О внесении изменений в Трудовой кодекс Российской Федерации»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01.03.2022)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Обновлен Х Раздел ТК РФ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01.03.2022 начнут действовать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изменения, которые затронули ст. 22, 76, 157, 185, 253, Раздел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X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Трудового кодекса Российской Федерации.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 xml:space="preserve">Основными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изменениями являются следующие: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риск - ориентированный подход в процедурах системы управления охраной труда;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увеличен объем обязанностей работодателя и работника в области охраны труда;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закреплены процедуры оценки профессиональных рисков (далее - ОПР), учета микроповреждений (микротравм);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запрет работы в опасных условиях труда;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 xml:space="preserve">взаимодействие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 подрядными организациями;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самообследование работодателя;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электронный документооборот;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принципы обеспечения безопасности труда и т. д.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Согласно статье 22 ТК РФ работодатель имеет право проводить самообследование на предмет соблюдения требований трудового законодательства, например, на сайте Онлайниспекция.ру в интерактивном сервисе «Электронный инспектор». 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Согласно ст. 76 ТК РФ работодатель обязан отстранить от работы работника, не применяющего в установленном порядке выданные ему средства индивидуальной защиты (далее - СИЗ), применени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которых является обязательным при выполнении работ с вредными и (или) опасными условиями труда, а также на работах, выполняемых в особо температурных условиях.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Согласно ст. 185 ТК РФ  с 01.03.2022 у работника сохраняется средний заработок и место работы не только во время прохождения медицинского осмотра, но и при прохождении обязательного психиатрического освидетельстования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Минтруда  РФ от 29.10.2021 № 776н «Об утверждении примерного положения о системе управления охраной труда»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01.03.2022)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Минтруда России от 19.08.2016 № 438н «Об утверждении Типового положения о системе управления охраной труда»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1"/>
              <w:widowControl w:val="false"/>
              <w:shd w:val="clear" w:color="auto" w:fill="FFFFFF"/>
              <w:spacing w:lineRule="auto" w:line="240"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PT Serif" w:hAnsi="PT Serif"/>
                <w:color w:val="000000"/>
                <w:sz w:val="20"/>
                <w:szCs w:val="20"/>
              </w:rPr>
              <w:t xml:space="preserve">Создание </w:t>
            </w:r>
            <w:r>
              <w:rPr>
                <w:rFonts w:eastAsia="Times New Roman" w:cs="Times New Roman" w:ascii="PT Serif" w:hAnsi="PT Serif"/>
                <w:color w:val="000000"/>
                <w:kern w:val="0"/>
                <w:sz w:val="20"/>
                <w:szCs w:val="20"/>
                <w:lang w:val="ru-RU" w:eastAsia="ru-RU" w:bidi="ar-SA"/>
              </w:rPr>
              <w:t>системы управления охраной труда (далее - СУОТ)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 xml:space="preserve"> с учетом специфики деятельности работодателя. В Положении обозначены основные процессы по охране труда (</w:t>
            </w:r>
            <w:r>
              <w:rPr>
                <w:rFonts w:eastAsia="Times New Roman" w:cs="Times New Roman" w:ascii="PT Serif" w:hAnsi="PT Serif"/>
                <w:color w:val="000000"/>
                <w:kern w:val="0"/>
                <w:sz w:val="20"/>
                <w:szCs w:val="20"/>
                <w:lang w:val="ru-RU" w:eastAsia="ru-RU" w:bidi="ar-SA"/>
              </w:rPr>
              <w:t>СУОТ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 xml:space="preserve">, ОПР, обеспечение работников СИЗ, реагирование на несчастные случаи, на аварийные ситуации), приведены примерные перечни опасностей и мер по управлению ими в рамках СУОТ; работы повышенной опасности, к организации которых и к обучению которым предъявляются отдельные требования. Указанные процессы должны быть определены отдельными </w:t>
            </w:r>
            <w:r>
              <w:rPr>
                <w:rFonts w:eastAsia="Times New Roman" w:cs="Times New Roman" w:ascii="PT Serif" w:hAnsi="PT Serif"/>
                <w:color w:val="000000"/>
                <w:kern w:val="0"/>
                <w:sz w:val="20"/>
                <w:szCs w:val="20"/>
                <w:lang w:val="ru-RU" w:eastAsia="ru-RU" w:bidi="ar-SA"/>
              </w:rPr>
              <w:t>локальными нормативными актами работодателя (далее — ЛНА)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>, либо могут включаться в раздел</w:t>
            </w:r>
            <w:r>
              <w:rPr>
                <w:rFonts w:eastAsia="Times New Roman" w:cs="Times New Roman" w:ascii="PT Serif" w:hAnsi="PT Serif"/>
                <w:color w:val="000000"/>
                <w:kern w:val="0"/>
                <w:sz w:val="20"/>
                <w:szCs w:val="20"/>
                <w:lang w:val="ru-RU" w:eastAsia="ru-RU" w:bidi="ar-SA"/>
              </w:rPr>
              <w:t>ы</w:t>
            </w:r>
            <w:r>
              <w:rPr>
                <w:rFonts w:ascii="PT Serif" w:hAnsi="PT Serif"/>
                <w:color w:val="000000"/>
                <w:sz w:val="20"/>
                <w:szCs w:val="20"/>
              </w:rPr>
              <w:t xml:space="preserve"> Положения о СУОТ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Минтруда России от 29.10.2021 № 771н «Об утверждении примерного перечня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01.03.2022)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Минздрав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а России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01.03.</w:t>
            </w:r>
            <w:r>
              <w:rPr>
                <w:rFonts w:ascii="Times New Roman" w:hAnsi="Times New Roman"/>
                <w:sz w:val="20"/>
                <w:szCs w:val="20"/>
              </w:rPr>
              <w:t>2012 № 181н «Об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рисков»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fill="FFFFFF" w:val="clear"/>
              </w:rPr>
              <w:t xml:space="preserve">В числе новых мероприятий - приобретение приборов, устройств, оборудования (их комплексов), обеспечивающих видео-, аудио или иную фиксацию процессов выполнения работ, а также систем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обеспечения безопасности работ на высоте и разработка и приобретение электронных программ документооборота в области охраны труда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Минтруда России от 22.09.2021 № 656н «Об утверждении примерного перечня мероприятий по предотвращению случаев повреждения здоровья работников (при производстве работ (оказании услуг) на территории, находящейся под контролем другого работодателя (иного лица)»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01.03.2022)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Вводится впервые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1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 01.03.2022 работодатель, осуществляющий производство работ (оказание услуг) на территории, находящейся под контролем другого работодателя (иного лица, обязан согласовать с ним  перечень мероприятий по предотвращению случаев повреждения здоровья работников перед началом производства работ (оказания услуг) (ст. 214 ТК РФ). В перечне мероприятий указываются организационные, технические, лечебно-профилактические, санитарно-бытовые мероприятия, а также мероприятия по обеспечению СИЗ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Приказ Минтруда России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работодателем».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2022 по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2028) 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Минтруда России от 17.12.2002 № 80 «Об утверждении Методических рекомендаций по разработке государственных нормативных требований охраны труда» 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fill="FFFFFF" w:val="clear"/>
              </w:rPr>
              <w:t>Перечень правил (стандартов) и инструкций по охране труда разрабатывается работодателем в соответствии со спецификой своей деятельности. Правила (стандарты) по охране труда должны содержать требования по обеспечению безопасности труда и контролю при организации работ работодателем (уполномоченным им лицом). Инструкции по охране труда должны содержать требования по безопасному выполнению работ работником (исполнителем). Документом определено, что должн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shd w:fill="FFFFFF" w:val="clear"/>
                <w:lang w:val="ru-RU" w:eastAsia="zh-CN" w:bidi="hi-IN"/>
              </w:rPr>
              <w:t>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fill="FFFFFF" w:val="clear"/>
              </w:rPr>
              <w:t xml:space="preserve"> содержать инструкция и правила по охране труда 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Минтруда России от 15.09.2021 № 632н «Об утверждении рекомендаций по учету микроповреждений (микротравм) работников»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01.03.2022)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Вводится впервые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1 марта работодатель обязан обеспечить учет и рассмотрение причин и обстоятельств событий, приведших к возникновению микроповреждений (микротравм) (ст. 214 ТК РФ). Рекомендации содержат практические инструменты по реализации требований ТК РФ по учету и рассмотрению причин микроповреждений (микротравм) работников, в том числе: рекомендуемый порядок учета микроповреждений (микротравм), форму справки о рассмотрении причин микротравм, журнал учета микротравм 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Приказ Минтруда России от 22.09.2021 № 650н «Об утверждении примерного положения о комитете (комиссии) по охране труда»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01.03.2022)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Приказ Министерства труда и социальной защиты Российской Федерации от 24.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06.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2014 № 412н «Об утверждении Типового положения о комитете (комиссии) по охране труда»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1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Увеличен перечень задач и функций членов комиссии по охране труда, в том числе по разработке программы действий по обеспечению соблюдения требований охраны труда, участие в организации контроля за состоянием условий труда на рабочих местах, рассмотрение результатов СОУТ и оценки профессиональных рисков. Комиссия является составной частью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СУОТ</w:t>
            </w:r>
            <w:r>
              <w:rPr>
                <w:color w:val="000000"/>
                <w:sz w:val="20"/>
                <w:szCs w:val="20"/>
              </w:rPr>
              <w:t xml:space="preserve"> у работодателя, а также одной из форм участия работников в управлении охраной труда. Комиссия создается по инициативе работодателя и (или) работников либо их представительного органа на паритетной основе (каждая сторона имеет один голос вне зависимости от общего числа представителей стороны)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Приказ Минтруда России  от 28.12.2021 № 796 «Об утверждении Рекомендаций по выбору методов оценки уровней профессиональных рисков и по снижению уровней таких рисков»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01.03.2022)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Вводится впервые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1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01.03.2022</w:t>
            </w:r>
            <w:r>
              <w:rPr>
                <w:color w:val="000000"/>
                <w:sz w:val="20"/>
                <w:szCs w:val="20"/>
              </w:rPr>
              <w:t xml:space="preserve"> работодатель обязан проводить оценку управления профессиональными рисками согласно статьям 214, 218 ТК РФ. Рекомендации содержат критерии по выбор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у</w:t>
            </w:r>
            <w:r>
              <w:rPr>
                <w:color w:val="000000"/>
                <w:sz w:val="20"/>
                <w:szCs w:val="20"/>
              </w:rPr>
              <w:t xml:space="preserve"> методов оценки уровней профессиональных рисков в зависимости от организации и отрасли. Указанные рекомендации не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запрещают</w:t>
            </w:r>
            <w:r>
              <w:rPr>
                <w:color w:val="000000"/>
                <w:sz w:val="20"/>
                <w:szCs w:val="20"/>
              </w:rPr>
              <w:t xml:space="preserve"> работодателю использовать иные методы, кроме указанных в Рекомендациях или разработать собственный метод оценки уровня профессиональных рисков, исходя из специфики своей деятельности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Минтруда России от 29.10.2021 № 773н «Об утверждении форм (способов) информирования работников об их трудовых правах, включая право на безопасные условия и охрану труда, и примерного перечня информационных материалов в целях информирования работников об их трудовых правах, включая право на безопасные условия и охрану труда»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01.03.2022)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Вводится впервые</w:t>
            </w:r>
          </w:p>
        </w:tc>
        <w:tc>
          <w:tcPr>
            <w:tcW w:w="4589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1"/>
              <w:widowControl w:val="false"/>
              <w:shd w:val="clear" w:color="auto" w:fill="FFFFFF"/>
              <w:spacing w:lineRule="auto" w:line="240" w:beforeAutospacing="0" w:before="0" w:afterAutospacing="0" w:after="0"/>
              <w:jc w:val="both"/>
              <w:rPr/>
            </w:pPr>
            <w:r>
              <w:rPr>
                <w:rStyle w:val="Style15"/>
                <w:i w:val="false"/>
                <w:iCs w:val="false"/>
                <w:color w:val="000000"/>
                <w:sz w:val="20"/>
                <w:szCs w:val="20"/>
              </w:rPr>
              <w:t xml:space="preserve">Согласно статьям 214, 216.2 ТК РФ работодатель обязан  обеспечить информирование работников об условиях и охране труда на их рабочих местах, о существующих профессиональных рисках и их уровнях, а также о мерах по защите от воздействия вредных и (или) опасных производственных факторов, имеющихся на рабочих местах, о предоставляемых им гарантиях, полагающихся им компенсациях и средствах индивидуальной защиты, об использовании приборов, устройств, оборудования и (или) комплексов (систем) приборов, устройств, оборудования, обеспечивающих дистанционную видео-, аудио- или иную фиксацию процессов производства работ, в целях контроля за безопасностью производства работ.  </w:t>
            </w:r>
            <w:r>
              <w:rPr>
                <w:rStyle w:val="Style15"/>
                <w:rFonts w:eastAsia="Times New Roman" w:cs="Times New Roman"/>
                <w:i w:val="false"/>
                <w:iCs w:val="false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В целях обеспечения права работника на информирование о своих трудовых правах </w:t>
            </w:r>
            <w:r>
              <w:rPr>
                <w:color w:val="000000"/>
                <w:sz w:val="20"/>
                <w:szCs w:val="20"/>
              </w:rPr>
              <w:t xml:space="preserve">Минтрудом России утверждены формы (способы) информирования работников и примерный перечень информационных материалов, а также </w:t>
            </w:r>
            <w:r>
              <w:rPr>
                <w:color w:val="000000"/>
                <w:sz w:val="20"/>
                <w:szCs w:val="20"/>
                <w:shd w:fill="FFFFFF" w:val="clear"/>
              </w:rPr>
              <w:t>рекомендаци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shd w:fill="FFFFFF" w:val="clear"/>
                <w:lang w:val="ru-RU" w:eastAsia="ru-RU" w:bidi="ar-SA"/>
              </w:rPr>
              <w:t>и</w:t>
            </w:r>
            <w:r>
              <w:rPr>
                <w:color w:val="000000"/>
                <w:sz w:val="20"/>
                <w:szCs w:val="20"/>
                <w:shd w:fill="FFFFFF" w:val="clear"/>
              </w:rPr>
              <w:t xml:space="preserve"> по размещению работодателем информационных материалов в целях информирования работников об их трудовых правах, включая право на безопасные условия и охрану труда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</w:p>
          <w:p>
            <w:pPr>
              <w:pStyle w:val="S1"/>
              <w:widowControl w:val="false"/>
              <w:shd w:val="clear" w:color="auto" w:fill="FFFFFF"/>
              <w:spacing w:lineRule="auto" w:line="240" w:beforeAutospacing="0" w:before="0" w:afterAutospacing="0"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Работодатель может применять любые перечисленные способы информирования по отдельности или совместно, а также иные предусмотренные законом формы информирования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fill="FFFFFF" w:val="clear"/>
              </w:rPr>
              <w:t>Приказ Минтруда России от 17.12.2021 № 894 «Об утверждении рекомендаций по размещению работодателем информационных материалов в целях информирования работников об их трудовых правах, включая право на безопасные условия и охрану труда»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01.03.2022)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i w:val="false"/>
                <w:iCs w:val="false"/>
                <w:sz w:val="20"/>
                <w:szCs w:val="20"/>
              </w:rPr>
              <w:t xml:space="preserve">Постановление Минтруда </w:t>
            </w:r>
            <w:r>
              <w:rPr>
                <w:rFonts w:eastAsia="NSimSun" w:cs="Lucida Sans" w:ascii="Times New Roman" w:hAnsi="Times New Roman"/>
                <w:i w:val="false"/>
                <w:iCs w:val="false"/>
                <w:color w:val="auto"/>
                <w:kern w:val="2"/>
                <w:sz w:val="20"/>
                <w:szCs w:val="20"/>
                <w:lang w:val="ru-RU" w:eastAsia="zh-CN" w:bidi="hi-IN"/>
              </w:rPr>
              <w:t>России</w:t>
            </w:r>
            <w:r>
              <w:rPr>
                <w:rFonts w:ascii="Times New Roman" w:hAnsi="Times New Roman"/>
                <w:i w:val="false"/>
                <w:iCs w:val="false"/>
                <w:sz w:val="20"/>
                <w:szCs w:val="20"/>
              </w:rPr>
              <w:t xml:space="preserve"> от 17.01.2001 № 7  «Об </w:t>
            </w:r>
            <w:r>
              <w:rPr>
                <w:rStyle w:val="Style15"/>
                <w:rFonts w:ascii="Times New Roman" w:hAnsi="Times New Roman"/>
                <w:i w:val="false"/>
                <w:iCs w:val="false"/>
                <w:sz w:val="20"/>
                <w:szCs w:val="20"/>
              </w:rPr>
              <w:t xml:space="preserve">утверждении Рекомендаций </w:t>
            </w:r>
            <w:r>
              <w:rPr>
                <w:rFonts w:ascii="Times New Roman" w:hAnsi="Times New Roman"/>
                <w:i w:val="false"/>
                <w:iCs w:val="false"/>
                <w:sz w:val="20"/>
                <w:szCs w:val="20"/>
              </w:rPr>
              <w:t>по организации работы кабинета охраны труда и уголка охраны труда»</w:t>
            </w:r>
          </w:p>
        </w:tc>
        <w:tc>
          <w:tcPr>
            <w:tcW w:w="458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Минтруда России от 29.10.2021  № 774н «Об утверждении общих требований к организации безопасного рабочего места»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2022 по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2028) 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Вводится впервые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Согласно ст. 214 ТК РФ в будущей редакции работодатель обязан организовать безопасные условия труда для работников. В раках реализации положений ст. 209 ТК РФ Минтрудом России утверждены нормы, устанавливающие требования к организации безопасного рабочего места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Минтруда России от 14.09.2021 № 629н «Об утверждении предельно допустимых норм нагрузок для женщин при подъёме и перемещении тяжестей вручную»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2022 по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2028)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6 февраля 1993 г. № 105 «О новых нормах предельно допустимых нагрузок для женщин при подъеме и перемещении тяжестей вручную»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1"/>
              <w:widowControl w:val="false"/>
              <w:shd w:val="clear" w:color="auto" w:fill="FFFFFF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Минтруд обновил предельно допустимые нормы нагрузок для женщин при подъеме и перемещении тяжестей вручную. Новые нормы скорректированы в соответсвии с показателями Приложения № 20 к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color w:val="000000"/>
                <w:sz w:val="20"/>
                <w:szCs w:val="20"/>
              </w:rPr>
              <w:t xml:space="preserve">етодике проведения специальной оценки условий труда (приказ Минтруда России от 24.11.2014 № 33н). Согласно ст. 253 ТК РФ запрещается применение труда женщин на работах, связанных с подъемом и перемещением вручную тяжестей, превышающих предельно допустимые для них нормы.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Таким образом</w:t>
            </w:r>
            <w:r>
              <w:rPr>
                <w:color w:val="000000"/>
                <w:sz w:val="20"/>
                <w:szCs w:val="20"/>
              </w:rPr>
              <w:t>, в случ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ае установления на рабочем месте женщины  вредных условий труда (3.1, 3.2 класс) по показателю масса поднимаемого и перемещаемого груза вручную, работодатель может быть привлечен к административной ответственности за нарушение государственных нормативных требований охраны труда, содержащихся в федеральных и иных нормативных правовых актах РФ (КоАП РФ ч. 1 ст. 5.27.1) </w:t>
            </w:r>
            <w:r>
              <w:rPr>
                <w:rFonts w:ascii="PT Serif" w:hAnsi="PT Serif"/>
                <w:color w:val="000000"/>
                <w:sz w:val="23"/>
                <w:szCs w:val="23"/>
              </w:rPr>
              <w:t xml:space="preserve"> 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Минтруда России от 13.05.2021 № 313н «О внесении изменений в приказ Министерства труда и социальной защиты Российской Федерации от 18 июля 2019 г. № 512н «Об утверждении перечня производств, работ и должностей с вредными и (или) опасными условиями труда, на которых ограничивается применение труда женщин»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2022 по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2028)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Внесение изменений в НПА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Изменениями вступающими в силу с 01.03.2022 определены конкретные виды профессий, в отношении которых ограничивается применение женского труда, для котельных, холодноштамповочных, волочильных и давильных работ, а также работ по монтажу, обслуживанию и ремонту технологического и нефтепромыслового оборудования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Минтруда России от 17.06.2021 № 406н «О форме и Порядке подачи декларации соответствия условий труда государственным нормативным требованиям охраны труда, Порядке формирования и ведения реестра деклараций соответствия условий труда государственным нормативным требованиям охраны труда»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2022 по </w:t>
            </w:r>
            <w:r>
              <w:rPr>
                <w:rFonts w:eastAsia="NSimSun" w:cs="Lucida Sans" w:ascii="Times New Roman" w:hAnsi="Times New Roman"/>
                <w:color w:val="000000"/>
                <w:kern w:val="2"/>
                <w:sz w:val="20"/>
                <w:szCs w:val="20"/>
                <w:lang w:val="ru-RU" w:eastAsia="zh-CN" w:bidi="hi-IN"/>
              </w:rPr>
              <w:t>01.03.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2028)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Минтруда России от 7 февраля 2014 года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80н «О форме и порядке подачи декларации соответствия условий труда государственным нормативным требованиям охраны труда, Порядке формирования и ведения реестра деклараций соответствия условий труда государственным нормативным требованиям охраны труда»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Минтрудом России установлены новые требования к форме и Порядку подачи декларации соответствия условий труда государственным нормативным требованиям охраны труда, а также Порядку формирования и ведения реестра деклараций. Срок подачи декларации (30 рабочих дней) будет отсчитываться со дня внесения сведений о результатах проведения СОУТ в ФГИС СОУТ. Форма декларации практически не изменилась за исключением того, что уточняющие ссылки под формой перенесены непосредственно в порядок подачи декларации 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shd w:fill="FFFFFF" w:val="clear"/>
              </w:rPr>
              <w:t>Приказ Минтруда России от 22.10.2021 № 757н «Об утверждении формы сертификата эксперта на право выполнения работ по специальной оценке условий труда, технических требований к нему, инструкции по заполнению бланка сертификата эксперта на право выполнения работ по специальной оценке условий труда и Порядка формирования и ведения реестра экспертов организаций, проводящих специальную оценку условий труда»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b w:val="false"/>
                <w:bCs w:val="false"/>
                <w:i w:val="false"/>
                <w:iCs w:val="false"/>
                <w:color w:val="000000"/>
                <w:kern w:val="2"/>
                <w:sz w:val="20"/>
                <w:szCs w:val="20"/>
                <w:lang w:val="ru-RU" w:eastAsia="zh-CN" w:bidi="hi-IN"/>
              </w:rPr>
              <w:t>01.03.2022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>, за некоторым исключени</w:t>
            </w:r>
            <w:r>
              <w:rPr>
                <w:rFonts w:eastAsia="NSimSun" w:cs="Lucida Sans" w:ascii="Times New Roman" w:hAnsi="Times New Roman"/>
                <w:b w:val="false"/>
                <w:bCs w:val="false"/>
                <w:i w:val="false"/>
                <w:iCs w:val="false"/>
                <w:color w:val="000000"/>
                <w:kern w:val="2"/>
                <w:sz w:val="20"/>
                <w:szCs w:val="20"/>
                <w:lang w:val="ru-RU" w:eastAsia="zh-CN" w:bidi="hi-IN"/>
              </w:rPr>
              <w:t>ем)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shd w:fill="FFFFFF" w:val="clear"/>
              </w:rPr>
              <w:t>приказ Минтруда России от 24.01.2014 № 32н «Об утверждении формы сертификата эксперта на право выполнения работ по специальной оценке условий труда, технических требований к нему, инструкции по заполнению бланка сертификата эксперта на право выполнения работ по специальной оценке условий труда и Порядка формирования и ведения реестра экспертов организаций, проводящих специальную оценку условий труда»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1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Утверждены новые требования к формированию и ведению реестра экспертов организаций в сфере СОУТ, а также к форме сертификата эксперта, технические требования к сертификату и правила его заполнения. </w:t>
            </w:r>
          </w:p>
          <w:p>
            <w:pPr>
              <w:pStyle w:val="S1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>В частности, выданные после 01.03.2022 сертификаты эксперта будут представляться в электронном виде с уникальным номером, на что, стоит обратить внимание при организации процедуры проведения СОУТ в организации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Приказ Минтруда России от 29.10.2021 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  <w:lang w:val="ru-RU" w:eastAsia="zh-CN" w:bidi="hi-IN"/>
              </w:rPr>
              <w:t>№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 775н «Об утверждении Порядка проведения государственной экспертизы условий труда»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  <w:lang w:val="ru-RU" w:eastAsia="zh-CN" w:bidi="hi-IN"/>
              </w:rPr>
              <w:t>01.03.2022)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Приказ Минтруда </w:t>
            </w:r>
            <w:r>
              <w:rPr>
                <w:rFonts w:eastAsia="NSimSun" w:cs="Lucida Sans" w:ascii="Times New Roman" w:hAnsi="Times New Roman"/>
                <w:i w:val="false"/>
                <w:iCs w:val="false"/>
                <w:color w:val="000000"/>
                <w:kern w:val="2"/>
                <w:sz w:val="20"/>
                <w:szCs w:val="20"/>
                <w:lang w:val="ru-RU" w:eastAsia="zh-CN" w:bidi="hi-IN"/>
              </w:rPr>
              <w:t>России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 от 12.08.20214 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  <w:lang w:val="ru-RU" w:eastAsia="zh-CN" w:bidi="hi-IN"/>
              </w:rPr>
              <w:t>№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 549н «Об утверждении порядка проведения государственной экспертизы условий труда»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Государственная экспертиза условий труда (ГЭУТ) осуществляется в целях оценки качества проведения СОУТ, правильности предоставления работникам гарантий и компенсаций за </w:t>
            </w:r>
            <w:r>
              <w:rPr>
                <w:rStyle w:val="Style15"/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работу 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с вредными и (или) опасными </w:t>
            </w:r>
            <w:r>
              <w:rPr>
                <w:rStyle w:val="Style15"/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условиями 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труда, фактических условий труда работников.  Государственная экспертиза условий труда осуществляется на основании: заявления органов власти, комиссий по расследованию несчастных случаев, работодателей, их объединений, работников, профсоюзов, их объединений, 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  <w:shd w:fill="auto" w:val="clear"/>
              </w:rPr>
              <w:t xml:space="preserve">государственных внебюджетных фондов </w:t>
            </w:r>
            <w:r>
              <w:rPr>
                <w:rFonts w:eastAsia="NSimSun" w:cs="Lucida Sans" w:ascii="Times New Roman" w:hAnsi="Times New Roman"/>
                <w:i w:val="false"/>
                <w:iCs w:val="false"/>
                <w:color w:val="000000"/>
                <w:kern w:val="2"/>
                <w:sz w:val="20"/>
                <w:szCs w:val="20"/>
                <w:shd w:fill="auto" w:val="clear"/>
                <w:lang w:val="ru-RU" w:eastAsia="zh-CN" w:bidi="hi-IN"/>
              </w:rPr>
              <w:t>РФ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>, организаций, проводивших СОУТ, определени</w:t>
            </w:r>
            <w:r>
              <w:rPr>
                <w:rFonts w:eastAsia="NSimSun" w:cs="Lucida Sans" w:ascii="Times New Roman" w:hAnsi="Times New Roman"/>
                <w:i w:val="false"/>
                <w:iCs w:val="false"/>
                <w:color w:val="000000"/>
                <w:kern w:val="2"/>
                <w:sz w:val="20"/>
                <w:szCs w:val="20"/>
                <w:lang w:val="ru-RU" w:eastAsia="zh-CN" w:bidi="hi-IN"/>
              </w:rPr>
              <w:t>й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 суда, представлени</w:t>
            </w:r>
            <w:r>
              <w:rPr>
                <w:rFonts w:eastAsia="NSimSun" w:cs="Lucida Sans" w:ascii="Times New Roman" w:hAnsi="Times New Roman"/>
                <w:i w:val="false"/>
                <w:iCs w:val="false"/>
                <w:color w:val="000000"/>
                <w:kern w:val="2"/>
                <w:sz w:val="20"/>
                <w:szCs w:val="20"/>
                <w:lang w:val="ru-RU" w:eastAsia="zh-CN" w:bidi="hi-IN"/>
              </w:rPr>
              <w:t>й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 инспекций труда и Роспотребнадзора, заключения Роструда о рассмотрении несогласия с заключением экспертизы качества СОУТ</w:t>
            </w:r>
          </w:p>
        </w:tc>
      </w:tr>
      <w:tr>
        <w:trPr/>
        <w:tc>
          <w:tcPr>
            <w:tcW w:w="56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Приказ Минтруда России от 28.10.2021 № 765н «Об утверждении типовых форм документов, необходимых для проведения государственной экспертизы условий труда»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(действует с 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  <w:lang w:val="ru-RU" w:eastAsia="zh-CN" w:bidi="hi-IN"/>
              </w:rPr>
              <w:t>01.03.2022)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Вводится впервые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Минтруд утвердил типовые формы документов, применяемых в рамках государственной экспертизы условий труда, в том числе: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заявление на проведение госэкспертизы;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согласие на обработку персональных данных;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представление госинспекции труда о проведении экспертизы;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запрос документации у работодателя, рабочие места которого проходят экспертизу;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запрос документации в судебном органе;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заявление о возврате денежных средств;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заключения экспертизы;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представление госэксперта (экспертной комиссии) о назначении исследований (испытаний) и измерений вредных и (или) опасных факторов производственной среды и трудового процесса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96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b/>
                <w:b/>
                <w:bCs/>
                <w:i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Перечень НПА, 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которые вводятся в действие позднее 01.03.2022</w:t>
            </w:r>
          </w:p>
        </w:tc>
      </w:tr>
      <w:tr>
        <w:trPr/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66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НПА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Взамен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Краткие пояснения</w:t>
            </w:r>
          </w:p>
        </w:tc>
      </w:tr>
      <w:tr>
        <w:trPr/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6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1"/>
              <w:widowControl w:val="false"/>
              <w:spacing w:lineRule="auto" w:line="240" w:before="0" w:after="0"/>
              <w:rPr/>
            </w:pPr>
            <w:r>
              <w:rPr>
                <w:rStyle w:val="Style15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Постановление Правительства </w:t>
            </w:r>
            <w:r>
              <w:rPr>
                <w:rStyle w:val="Style15"/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РФ </w:t>
            </w:r>
            <w:r>
              <w:rPr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>от 16.12.2021 № 2334 «Об утверждении Правил аккредитации организаций, индивидуальных предпринимателей, оказывающих услуги в области охраны труда, и требований к организациям и индивидуальным предпринимателям, оказывающим услуги в области охраны труда» (далее — постановление № 2334)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color w:val="000000"/>
              </w:rPr>
            </w:pPr>
            <w:r>
              <w:rPr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(действует с 01.09.2022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0"/>
                <w:szCs w:val="20"/>
                <w:lang w:val="ru-RU" w:eastAsia="ru-RU" w:bidi="ar-SA"/>
              </w:rPr>
              <w:t>по</w:t>
            </w:r>
            <w:r>
              <w:rPr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0"/>
                <w:szCs w:val="20"/>
                <w:lang w:val="ru-RU" w:eastAsia="ru-RU" w:bidi="ar-SA"/>
              </w:rPr>
              <w:t>01.09.</w:t>
            </w:r>
            <w:r>
              <w:rPr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>2028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0"/>
                <w:szCs w:val="20"/>
                <w:lang w:val="ru-RU" w:eastAsia="ru-RU" w:bidi="ar-SA"/>
              </w:rPr>
              <w:t>)</w:t>
            </w:r>
            <w:r>
              <w:rPr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shd w:fill="FFFFFF" w:val="clear"/>
              </w:rPr>
              <w:t xml:space="preserve">Приказ Министерства здравоохранения и социального развития </w:t>
            </w:r>
            <w:r>
              <w:rPr>
                <w:rFonts w:eastAsia="NSimSun" w:cs="Lucida Sans" w:ascii="Times New Roman" w:hAnsi="Times New Roman"/>
                <w:b w:val="false"/>
                <w:bCs w:val="false"/>
                <w:i w:val="false"/>
                <w:iCs w:val="false"/>
                <w:color w:val="000000"/>
                <w:kern w:val="2"/>
                <w:sz w:val="20"/>
                <w:szCs w:val="20"/>
                <w:shd w:fill="FFFFFF" w:val="clear"/>
                <w:lang w:val="ru-RU" w:eastAsia="zh-CN" w:bidi="hi-IN"/>
              </w:rPr>
              <w:t>РФ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shd w:fill="FFFFFF" w:val="clear"/>
              </w:rPr>
              <w:t xml:space="preserve"> от </w:t>
            </w:r>
            <w:r>
              <w:rPr>
                <w:rFonts w:eastAsia="NSimSun" w:cs="Lucida Sans" w:ascii="Times New Roman" w:hAnsi="Times New Roman"/>
                <w:b w:val="false"/>
                <w:bCs w:val="false"/>
                <w:i w:val="false"/>
                <w:iCs w:val="false"/>
                <w:color w:val="000000"/>
                <w:kern w:val="2"/>
                <w:sz w:val="20"/>
                <w:szCs w:val="20"/>
                <w:shd w:fill="FFFFFF" w:val="clear"/>
                <w:lang w:val="ru-RU" w:eastAsia="zh-CN" w:bidi="hi-IN"/>
              </w:rPr>
              <w:t>01.04.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shd w:fill="FFFFFF" w:val="clear"/>
              </w:rPr>
              <w:t xml:space="preserve">2010 № 205н «Об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 в области охраны труда» 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>Правительством РФ установлен порядок проведения обязательной аккредитации организаций и индивидуальных предпринимателей, оказывающих услуги в области охраны труда.</w:t>
            </w:r>
          </w:p>
          <w:p>
            <w:pPr>
              <w:pStyle w:val="S1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0"/>
                <w:szCs w:val="20"/>
                <w:lang w:val="ru-RU" w:eastAsia="ru-RU" w:bidi="ar-SA"/>
              </w:rPr>
              <w:t>А</w:t>
            </w:r>
            <w:r>
              <w:rPr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ккредитация организаций, зарегистрированных в реестре аккредитованных организаций, оказывающих услуги в области охраны труда до 01.09.2022, подлежит приостановлению с 01.03.2023 до подтверждения соответствия </w:t>
            </w:r>
            <w:r>
              <w:fldChar w:fldCharType="begin"/>
            </w:r>
            <w:r>
              <w:rPr>
                <w:sz w:val="20"/>
                <w:i w:val="false"/>
                <w:b w:val="false"/>
                <w:szCs w:val="20"/>
                <w:iCs w:val="false"/>
                <w:bCs w:val="false"/>
                <w:color w:val="000000"/>
              </w:rPr>
              <w:instrText> HYPERLINK "https://home.garant.ru/" \l "/document/403280887/entry/2000"</w:instrText>
            </w:r>
            <w:r>
              <w:rPr>
                <w:sz w:val="20"/>
                <w:i w:val="false"/>
                <w:b w:val="false"/>
                <w:szCs w:val="20"/>
                <w:iCs w:val="false"/>
                <w:bCs w:val="false"/>
                <w:color w:val="000000"/>
              </w:rPr>
              <w:fldChar w:fldCharType="separate"/>
            </w:r>
            <w:r>
              <w:rPr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>требованиям</w:t>
            </w:r>
            <w:r>
              <w:rPr>
                <w:sz w:val="20"/>
                <w:i w:val="false"/>
                <w:b w:val="false"/>
                <w:szCs w:val="20"/>
                <w:iCs w:val="false"/>
                <w:bCs w:val="false"/>
                <w:color w:val="000000"/>
              </w:rPr>
              <w:fldChar w:fldCharType="end"/>
            </w:r>
            <w:r>
              <w:rPr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, утвержденным указанным постановлением. В случае неподтверждения такими организациями после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0"/>
                <w:szCs w:val="20"/>
                <w:lang w:val="ru-RU" w:eastAsia="ru-RU" w:bidi="ar-SA"/>
              </w:rPr>
              <w:t>01.03.</w:t>
            </w:r>
            <w:r>
              <w:rPr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2023 соответствия требованиям, утвержденным постановлением, их аккредитация прекращается с исключением из реестра аккредитованных организаций, оказывающих услуги в области охраны труда, с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0"/>
                <w:szCs w:val="20"/>
                <w:lang w:val="ru-RU" w:eastAsia="ru-RU" w:bidi="ar-SA"/>
              </w:rPr>
              <w:t>01.09.2023.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 xml:space="preserve">Аккредитация в области охраны труда не требуется в случае, когда работодателем создается служба охраны труда или вводится должность специалиста по охране труда, а также в случае, когда работодателем организуется проведение обучения и </w:t>
            </w:r>
            <w:bookmarkStart w:id="0" w:name="ext-gen5257"/>
            <w:bookmarkEnd w:id="0"/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</w:rPr>
              <w:t>проверка знания требований охраны труда своих работников</w:t>
            </w:r>
          </w:p>
        </w:tc>
      </w:tr>
      <w:tr>
        <w:trPr/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6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24.12.2021 № 2464 «О порядке обучения по охране труда и проверки знания требований охраны труда» (далее — постановление № 2464)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(действует с 01.09.2022 до 01.09.2026, за исключением некоторы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 xml:space="preserve">х </w:t>
            </w:r>
            <w:r>
              <w:rPr>
                <w:sz w:val="20"/>
                <w:szCs w:val="20"/>
              </w:rPr>
              <w:t>пункт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ов</w:t>
            </w:r>
            <w:r>
              <w:rPr>
                <w:sz w:val="20"/>
                <w:szCs w:val="20"/>
              </w:rPr>
              <w:t>)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Постановление Минтруда России, Минобразования России от 13.01.2003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1/29 «Об утверждении Порядка обучения по охране труда и проверки знаний требований охраны труда работников организаций»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У</w:t>
            </w:r>
            <w:r>
              <w:rPr>
                <w:sz w:val="20"/>
                <w:szCs w:val="20"/>
              </w:rPr>
              <w:t>становлены обязательные требования к обучению по охране труда и проверке знания требований охраны труда у работников, заключивших трудовой договор с работодателем, а также требования к организациям и индивидуальным предпринимателям, оказывающим услуги по обучению работодателей и работников вопросам охраны труда.</w:t>
            </w:r>
          </w:p>
          <w:p>
            <w:pPr>
              <w:pStyle w:val="S1"/>
              <w:widowControl w:val="false"/>
              <w:spacing w:before="0" w:after="0"/>
              <w:rPr/>
            </w:pPr>
            <w:r>
              <w:rPr>
                <w:sz w:val="20"/>
                <w:szCs w:val="20"/>
              </w:rPr>
              <w:t xml:space="preserve">Организации и индивидуальные предприниматели, оказывающие услуги по обучению работодателей и работников вопросам охраны труда, должны быть аккредитованы и соответствовать </w:t>
            </w:r>
            <w:r>
              <w:fldChar w:fldCharType="begin"/>
            </w:r>
            <w:r>
              <w:rPr>
                <w:sz w:val="20"/>
                <w:szCs w:val="20"/>
              </w:rPr>
              <w:instrText> HYPERLINK "https://home.garant.ru/" \l "/document/403280887/entry/2000"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требованиям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, установленным </w:t>
            </w:r>
            <w:r>
              <w:fldChar w:fldCharType="begin"/>
            </w:r>
            <w:r>
              <w:rPr>
                <w:sz w:val="20"/>
                <w:szCs w:val="20"/>
              </w:rPr>
              <w:instrText> HYPERLINK "https://home.garant.ru/" \l "/document/403280887/entry/0"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постановлением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№ 2334. 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по охране труда осуществляется в ходе проведения: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а) инструктажей по охране труда;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б) стажировки на рабочем месте;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в) обучения по оказанию первой помощи пострадавшим;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г) обучения по использованию (применению) средств индивидуальной защиты;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д) обучения по охране труда у работодателя, в том числе обучения безопасным методам и приемам выполнения работ, или в организации, у индивидуального предпринимателя, оказывающих услуги по проведению обучения по охране труда. 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принятии решения работодателем проводить обучение по охране труда собственными силами, необходимо будет пройти бесплатную регистрацию в реестре индивидуальных предпринимателей и юридических лиц, осуществляющих деятельность по обучению своих работников вопросам охраны труда с 01.03.2023 года и с последующим внесением данных об обученных в Реестр обученных лиц.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этом с 01.03.2023 проверку знаний требований охраны труда могут проводить только члены комиссии, прошедшие соответствующую проверку с использованием единой общероссийской справочно-информационной системы по охране труда в информационно-телекоммуникационной сети «Интернет» (п. 78 постановления № 2464)</w:t>
            </w:r>
          </w:p>
        </w:tc>
      </w:tr>
      <w:tr>
        <w:trPr/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6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Минтруда России от 29.09.2021 № 664н «Об утверждении особенностей проведения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СОУТ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рабочих местах медицинских работников, непосредственно оказывающих паллиативную медицинскую помощь в соответствии со своими должностными обязанностями и осуществляющих указанную деятельность в медицинских организациях или структурных подразделениях медицинских организаций, специализирующихся на оказании паллиативной медицинской помощи»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01.09.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2022 до 31.08.2028) 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Вводится впервые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Минтрудом России утверждены особенности проведения специальной оценки условий труда(далее - СОУТ) на рабочих местах медицинских работников, непосредственно оказывающих паллиативную медицинскую помощь в медицинских организациях или структурных подразделениях медицинских организаций, специализирующихся на оказании паллиативной медицинской помощи.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Обязательным исследованиям (испытаниям) и измерениям на рабочих местах подлежат следующие вредные и (или) опасные производственные факторы: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а) химический фактор;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б) биологический фактор (учитываются статистические данные об имеющихся (имевшихся) инфекционных заболеваниях у лиц, которым оказывается соответствующая помощь или уход);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в) неионизирующее излучение (при использовании медицинского оборудования, являющегося источником указанного фактора);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г) ионизирующее излучение (при использовании медицинского оборудования, являющегося источником указанного фактора);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д) параметры микроклимата (устанавливается итоговый класс условий труда 3.1 при наличии на рабочем месте неустранимого адорогенного компонента);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е) тяжесть трудового процесса (устанавливается итоговый класс условий труда не ниже 3.2 при наличии на рабочих местах соответствующих действий);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ж) напряженность трудового процесса.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Экспертом СОУТ дополнительно оформляется протокол травмоопасности, в котором учитывается возможность осуществления на объектах оценки травмоопасности действий третьих лиц или пациентов, способных создать угрозу жизни и здоровью медицинских работников. 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Если условия труда по результатам оценки травмоопасности отнесены к опасному классу, то итоговый класс (подкласс) условий труда на таких рабочих местах повышается на одну степень. </w:t>
            </w:r>
          </w:p>
        </w:tc>
      </w:tr>
      <w:tr>
        <w:trPr/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266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РФ от 16.12.2021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2332 «О порядке допуска организаций к деятельности по проведению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СОУТ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их регистрации в реестре организаций, проводящих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СОУТ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приостановления и прекращения деятельности по проведению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СОУТ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01.09.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2022 до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01.09.</w:t>
            </w:r>
            <w:r>
              <w:rPr>
                <w:rFonts w:ascii="Times New Roman" w:hAnsi="Times New Roman"/>
                <w:sz w:val="20"/>
                <w:szCs w:val="20"/>
              </w:rPr>
              <w:t>2028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30.06.2014 № 599 «О порядке допуска организаций к деятельности по проведению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СОУТ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их регистрации в реестре организаций, проводящих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СОУТ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приостановления и прекращения деятельности по проведению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СОУТ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а также формирования и ведения реестра организаций, проводящих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СОУТ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стан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овлен новый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порядок допуска организаций к деятельности по проведению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СОУТ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их регистрации в реестре организаций, проводящих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СОУТ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приостановления и прекращения деятельности по проведению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СОУТ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а также порядок формирования и ведения реестра организаций, проводящих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СОУТ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(далее - реестр). Реестр ведется Минтрудом России.</w:t>
            </w:r>
          </w:p>
          <w:p>
            <w:pPr>
              <w:pStyle w:val="Style17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аявления о регистрации в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 xml:space="preserve">бумажном виде можно подать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31.12.2022. </w:t>
            </w:r>
          </w:p>
          <w:p>
            <w:pPr>
              <w:pStyle w:val="Style17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bookmarkStart w:id="1" w:name="p_40"/>
            <w:bookmarkEnd w:id="1"/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01.01.</w:t>
            </w:r>
            <w:r>
              <w:rPr>
                <w:rFonts w:ascii="Times New Roman" w:hAnsi="Times New Roman"/>
                <w:sz w:val="20"/>
                <w:szCs w:val="20"/>
              </w:rPr>
              <w:t>2023 подача указанного заявления осуществляется исключительно в электронном виде с использованием единого портала (Госуслуги) для проверки подаваемых сведений в автоматическом режиме</w:t>
            </w:r>
          </w:p>
        </w:tc>
      </w:tr>
      <w:tr>
        <w:trPr/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266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Минтруда России от 29.10.2021 № 766н «Об утверждении Правил обеспечения работников средствами индивидуальной защиты (далее - СИЗ) и смывающими средствами»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01.09.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2023 до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01.09.</w:t>
            </w:r>
            <w:r>
              <w:rPr>
                <w:rFonts w:ascii="Times New Roman" w:hAnsi="Times New Roman"/>
                <w:sz w:val="20"/>
                <w:szCs w:val="20"/>
              </w:rPr>
              <w:t>2029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Министерства здравоохранения и социального развития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01.06.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2009 № 290н «Об утверждении Межотраслевых правил обеспечения работников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СИЗ</w:t>
            </w:r>
            <w:r>
              <w:rPr>
                <w:rFonts w:ascii="Times New Roman" w:hAnsi="Times New Roman"/>
                <w:sz w:val="20"/>
                <w:szCs w:val="20"/>
              </w:rPr>
              <w:t>»,</w:t>
            </w:r>
          </w:p>
          <w:p>
            <w:pPr>
              <w:pStyle w:val="Style22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 к приказу Министерства здравоохранения и социального развития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17.12.2021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1122н «Об утверждении типовых норм бесплатной выдачи работникам смывающих и (или) обезвреживающих средств и стандарта безопасности труда «Обеспечение работников смывающими и (или) обезвреживающими средствами»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становлены обязательные требования к обеспечению работников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СИЗ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смывающими средствами, включая определение потребности, организацию приобретения, выдачи, эксплуатации (использования), хранения, ухода (обслуживания) и вывода из эксплуатации.</w:t>
            </w:r>
          </w:p>
          <w:p>
            <w:pPr>
              <w:pStyle w:val="S1"/>
              <w:widowControl w:val="false"/>
              <w:spacing w:lineRule="auto" w:line="240" w:before="0" w:after="0"/>
              <w:rPr/>
            </w:pPr>
            <w:r>
              <w:rPr>
                <w:sz w:val="20"/>
                <w:szCs w:val="20"/>
              </w:rPr>
              <w:t xml:space="preserve">Обеспечение СИЗ и смывающими средствами осуществляется в соответствии с Правилами, на основании </w:t>
            </w:r>
            <w:r>
              <w:fldChar w:fldCharType="begin"/>
            </w:r>
            <w:r>
              <w:rPr>
                <w:sz w:val="20"/>
                <w:szCs w:val="20"/>
              </w:rPr>
              <w:instrText> HYPERLINK "https://home.garant.ru/" \l "/document/55171222/entry/1000"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единых Типовых норм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выдачи СИЗ, с учетом результатов СОУТ, результатов оценки профессиональных рисков (далее - ОПР).</w:t>
            </w:r>
          </w:p>
          <w:p>
            <w:pPr>
              <w:pStyle w:val="S1"/>
              <w:widowControl w:val="false"/>
              <w:spacing w:lineRule="auto" w:line="240" w:before="0" w:after="0"/>
              <w:rPr/>
            </w:pPr>
            <w:r>
              <w:rPr>
                <w:sz w:val="20"/>
                <w:szCs w:val="20"/>
              </w:rPr>
              <w:t xml:space="preserve">В период до 31.12.2024 работодатель вправе осуществлять обеспечение СИЗ и смывающими средствами в соответствии с Правилами, на основании </w:t>
            </w:r>
            <w:r>
              <w:fldChar w:fldCharType="begin"/>
            </w:r>
            <w:r>
              <w:rPr>
                <w:sz w:val="20"/>
                <w:szCs w:val="20"/>
              </w:rPr>
              <w:instrText> HYPERLINK "https://home.garant.ru/" \l "/document/3919543/entry/0"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типовых норм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бесплатной выдачи специальной одежды, специальной обуви и других средств индивидуальной защиты с учетом результатов СОУТ, результатов ОПР, мнения выборного органа первичной профсоюзной организации или иного уполномоченного представительного органа работников (при наличии)</w:t>
            </w:r>
          </w:p>
          <w:p>
            <w:pPr>
              <w:pStyle w:val="S1"/>
              <w:widowControl w:val="false"/>
              <w:spacing w:lineRule="auto" w:line="240" w:before="0" w:after="0"/>
              <w:rPr/>
            </w:pPr>
            <w:r>
              <w:rPr>
                <w:sz w:val="20"/>
                <w:szCs w:val="20"/>
              </w:rPr>
              <w:t xml:space="preserve">Решение о применении в период с 1 сентября 2023 года до 31 декабря 2024 года </w:t>
            </w:r>
            <w:r>
              <w:fldChar w:fldCharType="begin"/>
            </w:r>
            <w:r>
              <w:rPr>
                <w:sz w:val="20"/>
                <w:szCs w:val="20"/>
              </w:rPr>
              <w:instrText> HYPERLINK "https://home.garant.ru/" \l "/document/55171222/entry/1000"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Единых типовых норм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или </w:t>
            </w:r>
            <w:r>
              <w:fldChar w:fldCharType="begin"/>
            </w:r>
            <w:r>
              <w:rPr>
                <w:sz w:val="20"/>
                <w:szCs w:val="20"/>
              </w:rPr>
              <w:instrText> HYPERLINK "https://home.garant.ru/" \l "/document/3919543/entry/0"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типовых норм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у</w:t>
            </w:r>
            <w:r>
              <w:rPr>
                <w:sz w:val="20"/>
                <w:szCs w:val="20"/>
                <w:lang w:val="ru-RU"/>
              </w:rPr>
              <w:t xml:space="preserve">твержденных </w:t>
            </w:r>
            <w:r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п</w:t>
            </w:r>
            <w:r>
              <w:rPr>
                <w:sz w:val="20"/>
                <w:szCs w:val="20"/>
                <w:lang w:val="ru-RU"/>
              </w:rPr>
              <w:t xml:space="preserve">риказом Минтруда </w:t>
            </w:r>
            <w:r>
              <w:rPr>
                <w:rFonts w:eastAsia="NSimSun" w:cs="Lucida Sans"/>
                <w:color w:val="auto"/>
                <w:kern w:val="2"/>
                <w:sz w:val="20"/>
                <w:szCs w:val="20"/>
                <w:lang w:val="ru-RU" w:eastAsia="zh-CN" w:bidi="hi-IN"/>
              </w:rPr>
              <w:t>России</w:t>
            </w:r>
            <w:r>
              <w:rPr>
                <w:sz w:val="20"/>
                <w:szCs w:val="20"/>
                <w:lang w:val="ru-RU"/>
              </w:rPr>
              <w:t xml:space="preserve"> от 29.10.2021 № 767н,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принимается работодателем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266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Минтруда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России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29.10.2021 № 767н «Об утверждении Единых типовых норм выдачи средств индивидуальной защиты и смывающих средств» 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(действует с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01.09.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Типовые нормы выдачи СИЗ, Типовые отраслевые нормы выдачи СИЗ, Нормы выдачи СИЗ 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(можно применять до 31.12.2024)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Нормы СИЗ и смывающих средств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представлены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трех приложениях: 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 Единые типовые нормы выдачи средств индивидуальной защиты по профессиям (должностям);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Единые типовые нормы выдачи средств индивидуальной защиты в зависимости от идентифицированных опасностей;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Единые типовые нормы выдачи дерматологических средств индивидуальной защиты и смывающих средств.</w:t>
            </w:r>
          </w:p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СИЗ </w:t>
            </w:r>
          </w:p>
        </w:tc>
      </w:tr>
      <w:tr>
        <w:trPr/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266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Минтруда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России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15.11.2021 № 796н «О признании утратившим силу приказа Министерства здравоохранения и социального развития Российской Федерации от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01.04.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2010 № 205н «Об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 в области охраны труда» и внесенных в него изменений» 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>
              <w:rPr>
                <w:rFonts w:eastAsia="NSimSun" w:cs="Lucida Sans" w:ascii="Times New Roman" w:hAnsi="Times New Roman"/>
                <w:color w:val="auto"/>
                <w:kern w:val="2"/>
                <w:sz w:val="20"/>
                <w:szCs w:val="20"/>
                <w:lang w:val="ru-RU" w:eastAsia="zh-CN" w:bidi="hi-IN"/>
              </w:rPr>
              <w:t>01.09.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2022 утратят силу приказы Минздравсоцразвития и Минтруда по вопросам аккредитации организаций, оказывающих услуги в области охраны труда. </w:t>
            </w:r>
          </w:p>
        </w:tc>
      </w:tr>
      <w:tr>
        <w:trPr/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266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/>
            </w:pPr>
            <w:r>
              <w:rPr>
                <w:rStyle w:val="Style15"/>
                <w:rFonts w:ascii="Times New Roman" w:hAnsi="Times New Roman"/>
                <w:i w:val="false"/>
                <w:iCs w:val="false"/>
                <w:sz w:val="20"/>
                <w:szCs w:val="20"/>
              </w:rPr>
              <w:t xml:space="preserve">Приказ Минтруда </w:t>
            </w:r>
            <w:r>
              <w:rPr>
                <w:rStyle w:val="Style15"/>
                <w:rFonts w:eastAsia="NSimSun" w:cs="Lucida Sans" w:ascii="Times New Roman" w:hAnsi="Times New Roman"/>
                <w:i w:val="false"/>
                <w:iCs w:val="false"/>
                <w:color w:val="auto"/>
                <w:kern w:val="2"/>
                <w:sz w:val="20"/>
                <w:szCs w:val="20"/>
                <w:lang w:val="ru-RU" w:eastAsia="zh-CN" w:bidi="hi-IN"/>
              </w:rPr>
              <w:t>России</w:t>
            </w:r>
            <w:r>
              <w:rPr>
                <w:rFonts w:ascii="Times New Roman" w:hAnsi="Times New Roman"/>
                <w:i w:val="false"/>
                <w:iCs w:val="false"/>
                <w:sz w:val="20"/>
                <w:szCs w:val="20"/>
              </w:rPr>
              <w:t xml:space="preserve"> от </w:t>
            </w:r>
            <w:r>
              <w:rPr>
                <w:rStyle w:val="Style15"/>
                <w:rFonts w:ascii="Times New Roman" w:hAnsi="Times New Roman"/>
                <w:i w:val="false"/>
                <w:iCs w:val="false"/>
                <w:sz w:val="20"/>
                <w:szCs w:val="20"/>
              </w:rPr>
              <w:t>30.</w:t>
            </w:r>
            <w:r>
              <w:rPr>
                <w:rStyle w:val="Style15"/>
                <w:rFonts w:eastAsia="NSimSun" w:cs="Lucida Sans" w:ascii="Times New Roman" w:hAnsi="Times New Roman"/>
                <w:i w:val="false"/>
                <w:iCs w:val="false"/>
                <w:color w:val="auto"/>
                <w:kern w:val="2"/>
                <w:sz w:val="20"/>
                <w:szCs w:val="20"/>
                <w:lang w:val="ru-RU" w:eastAsia="zh-CN" w:bidi="hi-IN"/>
              </w:rPr>
              <w:t>11.</w:t>
            </w:r>
            <w:r>
              <w:rPr>
                <w:rStyle w:val="Style15"/>
                <w:rFonts w:ascii="Times New Roman" w:hAnsi="Times New Roman"/>
                <w:i w:val="false"/>
                <w:iCs w:val="false"/>
                <w:sz w:val="20"/>
                <w:szCs w:val="20"/>
              </w:rPr>
              <w:t>2021</w:t>
            </w:r>
            <w:r>
              <w:rPr>
                <w:rFonts w:ascii="Times New Roman" w:hAnsi="Times New Roman"/>
                <w:i w:val="false"/>
                <w:iCs w:val="false"/>
                <w:sz w:val="20"/>
                <w:szCs w:val="20"/>
              </w:rPr>
              <w:t xml:space="preserve"> </w:t>
            </w:r>
            <w:r>
              <w:rPr>
                <w:rFonts w:eastAsia="NSimSun" w:cs="Lucida Sans" w:ascii="Times New Roman" w:hAnsi="Times New Roman"/>
                <w:i w:val="false"/>
                <w:iCs w:val="false"/>
                <w:color w:val="auto"/>
                <w:kern w:val="2"/>
                <w:sz w:val="20"/>
                <w:szCs w:val="20"/>
                <w:lang w:val="ru-RU" w:eastAsia="zh-CN" w:bidi="hi-IN"/>
              </w:rPr>
              <w:t xml:space="preserve">№ </w:t>
            </w:r>
            <w:r>
              <w:rPr>
                <w:rStyle w:val="Style15"/>
                <w:rFonts w:ascii="Times New Roman" w:hAnsi="Times New Roman"/>
                <w:i w:val="false"/>
                <w:iCs w:val="false"/>
                <w:sz w:val="20"/>
                <w:szCs w:val="20"/>
              </w:rPr>
              <w:t>838н «</w:t>
            </w:r>
            <w:r>
              <w:rPr>
                <w:rFonts w:ascii="Times New Roman" w:hAnsi="Times New Roman"/>
                <w:i w:val="false"/>
                <w:iCs w:val="false"/>
                <w:sz w:val="20"/>
                <w:szCs w:val="20"/>
              </w:rPr>
              <w:t>Об утверждении перечня индикаторов риска нарушения обязательных требований при осуществлении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права»</w:t>
            </w:r>
          </w:p>
          <w:p>
            <w:pPr>
              <w:pStyle w:val="Style22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i w:val="false"/>
                <w:iCs w:val="false"/>
                <w:sz w:val="20"/>
                <w:szCs w:val="20"/>
              </w:rPr>
              <w:t xml:space="preserve">В соответствии с </w:t>
            </w:r>
            <w:r>
              <w:fldChar w:fldCharType="begin"/>
            </w:r>
            <w:r>
              <w:rPr>
                <w:sz w:val="20"/>
                <w:i w:val="false"/>
                <w:szCs w:val="20"/>
                <w:iCs w:val="false"/>
                <w:rFonts w:ascii="Times New Roman" w:hAnsi="Times New Roman"/>
              </w:rPr>
              <w:instrText> HYPERLINK "https://home.garant.ru/" \l "/document/74449814/entry/2310"</w:instrText>
            </w:r>
            <w:r>
              <w:rPr>
                <w:sz w:val="20"/>
                <w:i w:val="false"/>
                <w:szCs w:val="20"/>
                <w:iCs w:val="false"/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i w:val="false"/>
                <w:iCs w:val="false"/>
                <w:sz w:val="20"/>
                <w:szCs w:val="20"/>
              </w:rPr>
              <w:t>частью 10 статьи 23</w:t>
            </w:r>
            <w:r>
              <w:rPr>
                <w:sz w:val="20"/>
                <w:i w:val="false"/>
                <w:szCs w:val="20"/>
                <w:iCs w:val="false"/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i w:val="false"/>
                <w:iCs w:val="false"/>
                <w:sz w:val="20"/>
                <w:szCs w:val="20"/>
              </w:rPr>
              <w:t xml:space="preserve"> Федерального закона от 31.07.2020 </w:t>
            </w:r>
            <w:r>
              <w:rPr>
                <w:rFonts w:eastAsia="NSimSun" w:cs="Lucida Sans" w:ascii="Times New Roman" w:hAnsi="Times New Roman"/>
                <w:i w:val="false"/>
                <w:iCs w:val="false"/>
                <w:color w:val="auto"/>
                <w:kern w:val="2"/>
                <w:sz w:val="20"/>
                <w:szCs w:val="20"/>
                <w:lang w:val="ru-RU" w:eastAsia="zh-CN" w:bidi="hi-IN"/>
              </w:rPr>
              <w:t xml:space="preserve">№ </w:t>
            </w:r>
            <w:r>
              <w:rPr>
                <w:rFonts w:ascii="Times New Roman" w:hAnsi="Times New Roman"/>
                <w:i w:val="false"/>
                <w:iCs w:val="false"/>
                <w:sz w:val="20"/>
                <w:szCs w:val="20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40" w:before="0" w:after="0"/>
              <w:rPr>
                <w:rFonts w:ascii="Times New Roman" w:hAnsi="Times New Roman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ascii="Times New Roman" w:hAnsi="Times New Roman"/>
                <w:i w:val="false"/>
                <w:iCs w:val="false"/>
                <w:sz w:val="20"/>
                <w:szCs w:val="20"/>
              </w:rPr>
              <w:t>Вводится впервые</w:t>
            </w:r>
          </w:p>
        </w:tc>
        <w:tc>
          <w:tcPr>
            <w:tcW w:w="4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О нарушении обязательных требований при проведении госконтроля за соблюдением актов, содержащих нормы трудового права, могут свидетельствовать: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- принятие судом заявления о признании банкротом работодателя, среднестатистическая численность работников которого равняется или превышает 50 человек, включая совместителей;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 xml:space="preserve">- проведение два и более раза в течение шести месяцев одним лицом и (или) одним средством измерения, имеющим идентификационные признаки, измерений в целях </w:t>
            </w:r>
            <w:r>
              <w:rPr>
                <w:rFonts w:eastAsia="Times New Roman" w:cs="Times New Roman"/>
                <w:i w:val="false"/>
                <w:iCs w:val="false"/>
                <w:color w:val="auto"/>
                <w:kern w:val="0"/>
                <w:sz w:val="20"/>
                <w:szCs w:val="20"/>
                <w:lang w:val="ru-RU" w:eastAsia="ru-RU" w:bidi="ar-SA"/>
              </w:rPr>
              <w:t>СОУТ</w:t>
            </w:r>
            <w:r>
              <w:rPr>
                <w:i w:val="false"/>
                <w:iCs w:val="false"/>
                <w:sz w:val="20"/>
                <w:szCs w:val="20"/>
              </w:rPr>
              <w:t xml:space="preserve"> у контролируемого лица и иного лица, находящегося в другом регионе, в течение суток (кроме случаев проведения СОУТ на территории субъектов Федерации, имеющих общую административную границу).</w:t>
            </w:r>
          </w:p>
          <w:p>
            <w:pPr>
              <w:pStyle w:val="S1"/>
              <w:widowControl w:val="false"/>
              <w:spacing w:lineRule="auto" w:line="240" w:before="0" w:after="0"/>
              <w:rPr>
                <w:rFonts w:ascii="Times New Roman" w:hAnsi="Times New Roman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Указанные обстоятельства учитываются при принятии решения о проведении и выборе вида внепланового контрольного мероприятия</w:t>
            </w:r>
          </w:p>
        </w:tc>
      </w:tr>
    </w:tbl>
    <w:p>
      <w:pPr>
        <w:pStyle w:val="Normal"/>
        <w:spacing w:lineRule="auto" w:line="240" w:before="0" w:after="0"/>
        <w:rPr>
          <w:rFonts w:ascii="Arial;sans-serif" w:hAnsi="Arial;sans-serif"/>
          <w:color w:val="000000"/>
          <w:sz w:val="21"/>
        </w:rPr>
      </w:pPr>
      <w:r>
        <w:rPr>
          <w:rFonts w:ascii="Arial;sans-serif" w:hAnsi="Arial;sans-serif"/>
          <w:color w:val="000000"/>
          <w:sz w:val="21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1134" w:top="1693" w:footer="0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PT Serif">
    <w:charset w:val="cc"/>
    <w:family w:val="roman"/>
    <w:pitch w:val="variable"/>
  </w:font>
  <w:font w:name="Arial">
    <w:altName w:val="sans-serif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5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21"/>
    <w:next w:val="Style17"/>
    <w:uiPriority w:val="9"/>
    <w:qFormat/>
    <w:pPr>
      <w:outlineLvl w:val="0"/>
    </w:pPr>
    <w:rPr>
      <w:rFonts w:ascii="Liberation Serif" w:hAnsi="Liberation Serif" w:eastAsia="NSimSun"/>
      <w:b/>
      <w:bCs/>
      <w:sz w:val="48"/>
      <w:szCs w:val="48"/>
    </w:rPr>
  </w:style>
  <w:style w:type="paragraph" w:styleId="2">
    <w:name w:val="Heading 2"/>
    <w:basedOn w:val="Style21"/>
    <w:next w:val="Style17"/>
    <w:uiPriority w:val="9"/>
    <w:unhideWhenUsed/>
    <w:qFormat/>
    <w:pPr>
      <w:spacing w:before="200" w:after="120"/>
      <w:outlineLvl w:val="1"/>
    </w:pPr>
    <w:rPr>
      <w:rFonts w:ascii="Liberation Serif" w:hAnsi="Liberation Serif" w:eastAsia="NSimSu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Маркеры"/>
    <w:qFormat/>
    <w:rPr>
      <w:rFonts w:ascii="OpenSymbol" w:hAnsi="OpenSymbol" w:eastAsia="OpenSymbol" w:cs="OpenSymbol"/>
    </w:rPr>
  </w:style>
  <w:style w:type="character" w:styleId="Style13" w:customStyle="1">
    <w:name w:val="Выделение жирным"/>
    <w:qFormat/>
    <w:rPr>
      <w:b/>
      <w:bCs/>
    </w:rPr>
  </w:style>
  <w:style w:type="character" w:styleId="Style14">
    <w:name w:val="Интернет-ссылка"/>
    <w:basedOn w:val="DefaultParagraphFont"/>
    <w:uiPriority w:val="99"/>
    <w:semiHidden/>
    <w:unhideWhenUsed/>
    <w:rsid w:val="004f1438"/>
    <w:rPr>
      <w:color w:val="0000FF"/>
      <w:u w:val="single"/>
    </w:rPr>
  </w:style>
  <w:style w:type="character" w:styleId="Style15">
    <w:name w:val="Выделение"/>
    <w:uiPriority w:val="20"/>
    <w:qFormat/>
    <w:rPr>
      <w:i/>
      <w:i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/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Title"/>
    <w:basedOn w:val="Normal"/>
    <w:next w:val="Style17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paragraph" w:styleId="S1" w:customStyle="1">
    <w:name w:val="s_1"/>
    <w:basedOn w:val="Normal"/>
    <w:qFormat/>
    <w:rsid w:val="0080012f"/>
    <w:pPr>
      <w:suppressAutoHyphens w:val="false"/>
      <w:spacing w:beforeAutospacing="1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paragraph" w:styleId="S16" w:customStyle="1">
    <w:name w:val="s_16"/>
    <w:basedOn w:val="Normal"/>
    <w:qFormat/>
    <w:rsid w:val="00f910a1"/>
    <w:pPr>
      <w:suppressAutoHyphens w:val="false"/>
      <w:spacing w:beforeAutospacing="1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paragraph" w:styleId="Empty" w:customStyle="1">
    <w:name w:val="empty"/>
    <w:basedOn w:val="Normal"/>
    <w:qFormat/>
    <w:rsid w:val="00f910a1"/>
    <w:pPr>
      <w:suppressAutoHyphens w:val="false"/>
      <w:spacing w:beforeAutospacing="1" w:afterAutospacing="1"/>
    </w:pPr>
    <w:rPr>
      <w:rFonts w:ascii="Times New Roman" w:hAnsi="Times New Roman" w:eastAsia="Times New Roman" w:cs="Times New Roman"/>
      <w:kern w:val="0"/>
      <w:lang w:eastAsia="ru-RU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SimSun;宋体" w:cs="Mangal"/>
      <w:color w:val="auto"/>
      <w:kern w:val="2"/>
      <w:sz w:val="24"/>
      <w:szCs w:val="24"/>
      <w:lang w:val="en-US" w:eastAsia="zh-CN" w:bidi="hi-IN"/>
    </w:rPr>
  </w:style>
  <w:style w:type="paragraph" w:styleId="Style24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5">
    <w:name w:val="Footer"/>
    <w:basedOn w:val="Style24"/>
    <w:pPr>
      <w:suppressLineNumbers/>
    </w:pPr>
    <w:rPr/>
  </w:style>
  <w:style w:type="paragraph" w:styleId="Style26">
    <w:name w:val="Header"/>
    <w:basedOn w:val="Style24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2357</TotalTime>
  <Application>LibreOffice/7.0.6.2$Windows_X86_64 LibreOffice_project/144abb84a525d8e30c9dbbefa69cbbf2d8d4ae3b</Application>
  <AppVersion>15.0000</AppVersion>
  <Pages>9</Pages>
  <Words>3438</Words>
  <Characters>23865</Characters>
  <CharactersWithSpaces>27156</CharactersWithSpaces>
  <Paragraphs>196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2022-02-04T09:29:00Z</dcterms:created>
  <dc:creator/>
  <dc:description/>
  <dc:language>ru-RU</dc:language>
  <cp:lastModifiedBy/>
  <cp:lastPrinted>2022-02-09T10:17:24Z</cp:lastPrinted>
  <dcterms:modified xsi:type="dcterms:W3CDTF">2022-02-09T15:18:25Z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